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ED" w:rsidRPr="00515FEB" w:rsidRDefault="00D22A89" w:rsidP="00515FEB">
      <w:pPr>
        <w:jc w:val="center"/>
        <w:rPr>
          <w:b/>
          <w:smallCaps/>
          <w:sz w:val="32"/>
          <w:szCs w:val="32"/>
        </w:rPr>
      </w:pPr>
      <w:r w:rsidRPr="00515FEB">
        <w:rPr>
          <w:b/>
          <w:smallCaps/>
          <w:sz w:val="32"/>
          <w:szCs w:val="32"/>
        </w:rPr>
        <w:t>Du nouveau sur le fabliau ?</w:t>
      </w:r>
    </w:p>
    <w:p w:rsidR="00515FEB" w:rsidRDefault="00515FEB" w:rsidP="00515FEB">
      <w:pPr>
        <w:jc w:val="center"/>
        <w:rPr>
          <w:b/>
          <w:szCs w:val="24"/>
        </w:rPr>
      </w:pPr>
    </w:p>
    <w:p w:rsidR="00515FEB" w:rsidRDefault="00F44DA2" w:rsidP="00515FEB">
      <w:pPr>
        <w:jc w:val="center"/>
        <w:rPr>
          <w:szCs w:val="24"/>
        </w:rPr>
      </w:pPr>
      <w:r w:rsidRPr="00515FEB">
        <w:rPr>
          <w:szCs w:val="24"/>
        </w:rPr>
        <w:t>Programme de recherche</w:t>
      </w:r>
      <w:r w:rsidR="00515FEB">
        <w:rPr>
          <w:szCs w:val="24"/>
        </w:rPr>
        <w:t xml:space="preserve"> dirigé par Philippe</w:t>
      </w:r>
      <w:r w:rsidR="00D22A89" w:rsidRPr="00515FEB">
        <w:rPr>
          <w:szCs w:val="24"/>
        </w:rPr>
        <w:t xml:space="preserve"> </w:t>
      </w:r>
      <w:proofErr w:type="spellStart"/>
      <w:r w:rsidR="00D22A89" w:rsidRPr="00515FEB">
        <w:rPr>
          <w:smallCaps/>
          <w:szCs w:val="24"/>
        </w:rPr>
        <w:t>Haugeard</w:t>
      </w:r>
      <w:proofErr w:type="spellEnd"/>
      <w:r w:rsidR="00D22A89" w:rsidRPr="00515FEB">
        <w:rPr>
          <w:szCs w:val="24"/>
        </w:rPr>
        <w:t xml:space="preserve"> (POLEN, Orléans) </w:t>
      </w:r>
    </w:p>
    <w:p w:rsidR="00D22A89" w:rsidRPr="00515FEB" w:rsidRDefault="00515FEB" w:rsidP="00515FEB">
      <w:pPr>
        <w:jc w:val="center"/>
        <w:rPr>
          <w:szCs w:val="24"/>
        </w:rPr>
      </w:pPr>
      <w:proofErr w:type="gramStart"/>
      <w:r>
        <w:rPr>
          <w:szCs w:val="24"/>
        </w:rPr>
        <w:t>et</w:t>
      </w:r>
      <w:proofErr w:type="gramEnd"/>
      <w:r>
        <w:rPr>
          <w:szCs w:val="24"/>
        </w:rPr>
        <w:t xml:space="preserve"> Silvère</w:t>
      </w:r>
      <w:r w:rsidR="00D22A89" w:rsidRPr="00515FEB">
        <w:rPr>
          <w:szCs w:val="24"/>
        </w:rPr>
        <w:t xml:space="preserve"> </w:t>
      </w:r>
      <w:proofErr w:type="spellStart"/>
      <w:r w:rsidR="00D22A89" w:rsidRPr="00515FEB">
        <w:rPr>
          <w:smallCaps/>
          <w:szCs w:val="24"/>
        </w:rPr>
        <w:t>Menegaldo</w:t>
      </w:r>
      <w:proofErr w:type="spellEnd"/>
      <w:r w:rsidR="00D22A89" w:rsidRPr="00515FEB">
        <w:rPr>
          <w:szCs w:val="24"/>
        </w:rPr>
        <w:t xml:space="preserve"> (CESR, Tours)</w:t>
      </w:r>
    </w:p>
    <w:p w:rsidR="00747F98" w:rsidRDefault="00747F98">
      <w:pPr>
        <w:rPr>
          <w:szCs w:val="24"/>
        </w:rPr>
      </w:pPr>
    </w:p>
    <w:p w:rsidR="003F346A" w:rsidRDefault="003F346A" w:rsidP="00515FEB">
      <w:pPr>
        <w:ind w:firstLine="454"/>
        <w:rPr>
          <w:szCs w:val="24"/>
        </w:rPr>
      </w:pPr>
      <w:r>
        <w:rPr>
          <w:szCs w:val="24"/>
        </w:rPr>
        <w:t xml:space="preserve">Le fabliau a beau être « la corne d’abondance de la </w:t>
      </w:r>
      <w:proofErr w:type="spellStart"/>
      <w:r>
        <w:rPr>
          <w:szCs w:val="24"/>
        </w:rPr>
        <w:t>médiévistique</w:t>
      </w:r>
      <w:proofErr w:type="spellEnd"/>
      <w:r>
        <w:rPr>
          <w:szCs w:val="24"/>
        </w:rPr>
        <w:t xml:space="preserve"> » (R. </w:t>
      </w:r>
      <w:proofErr w:type="spellStart"/>
      <w:r>
        <w:rPr>
          <w:szCs w:val="24"/>
        </w:rPr>
        <w:t>Trachsler</w:t>
      </w:r>
      <w:proofErr w:type="spellEnd"/>
      <w:r>
        <w:rPr>
          <w:szCs w:val="24"/>
        </w:rPr>
        <w:t>), il a suscité ces dernières années, voire décennies, peu de travaux d’ampleur à la mesure de cette richesse, en tout cas dans le domaine francophone. E</w:t>
      </w:r>
      <w:r w:rsidR="00D42ABF">
        <w:rPr>
          <w:szCs w:val="24"/>
        </w:rPr>
        <w:t>n dehors d’un certain nombre d’</w:t>
      </w:r>
      <w:r>
        <w:rPr>
          <w:szCs w:val="24"/>
        </w:rPr>
        <w:t xml:space="preserve">articles isolés, </w:t>
      </w:r>
      <w:r w:rsidR="00164BE0">
        <w:rPr>
          <w:szCs w:val="24"/>
        </w:rPr>
        <w:t xml:space="preserve">témoignant d’un intérêt aussi constant que dispersé, </w:t>
      </w:r>
      <w:r>
        <w:rPr>
          <w:szCs w:val="24"/>
        </w:rPr>
        <w:t xml:space="preserve">on ne peut guère signaler en effet que la monographie d’A. </w:t>
      </w:r>
      <w:proofErr w:type="spellStart"/>
      <w:r>
        <w:rPr>
          <w:szCs w:val="24"/>
        </w:rPr>
        <w:t>Corbellari</w:t>
      </w:r>
      <w:proofErr w:type="spellEnd"/>
      <w:r>
        <w:rPr>
          <w:szCs w:val="24"/>
        </w:rPr>
        <w:t xml:space="preserve"> </w:t>
      </w:r>
      <w:r w:rsidRPr="00646C01">
        <w:rPr>
          <w:szCs w:val="24"/>
        </w:rPr>
        <w:t>(</w:t>
      </w:r>
      <w:r w:rsidRPr="00646C01">
        <w:rPr>
          <w:i/>
          <w:szCs w:val="24"/>
        </w:rPr>
        <w:t>Des fabliaux et des hommes</w:t>
      </w:r>
      <w:r w:rsidRPr="00646C01">
        <w:rPr>
          <w:szCs w:val="24"/>
        </w:rPr>
        <w:t>, 2015)</w:t>
      </w:r>
      <w:r>
        <w:rPr>
          <w:szCs w:val="24"/>
        </w:rPr>
        <w:t xml:space="preserve"> ainsi que </w:t>
      </w:r>
      <w:r w:rsidR="00515FEB">
        <w:rPr>
          <w:szCs w:val="24"/>
        </w:rPr>
        <w:t>le programme de recherche</w:t>
      </w:r>
      <w:r w:rsidRPr="00646C01">
        <w:rPr>
          <w:szCs w:val="24"/>
        </w:rPr>
        <w:t xml:space="preserve"> « Lire en contexte à l’époque </w:t>
      </w:r>
      <w:proofErr w:type="spellStart"/>
      <w:r w:rsidRPr="00646C01">
        <w:rPr>
          <w:szCs w:val="24"/>
        </w:rPr>
        <w:t>prémoderne</w:t>
      </w:r>
      <w:proofErr w:type="spellEnd"/>
      <w:r w:rsidRPr="00646C01">
        <w:rPr>
          <w:szCs w:val="24"/>
        </w:rPr>
        <w:t xml:space="preserve">. Enquête sur les recueils manuscrits de fabliaux » piloté par O. Collet, F. </w:t>
      </w:r>
      <w:proofErr w:type="spellStart"/>
      <w:r w:rsidRPr="00646C01">
        <w:rPr>
          <w:szCs w:val="24"/>
        </w:rPr>
        <w:t>Gingras</w:t>
      </w:r>
      <w:proofErr w:type="spellEnd"/>
      <w:r w:rsidRPr="00646C01">
        <w:rPr>
          <w:szCs w:val="24"/>
        </w:rPr>
        <w:t xml:space="preserve"> et R. </w:t>
      </w:r>
      <w:proofErr w:type="spellStart"/>
      <w:r w:rsidRPr="00646C01">
        <w:rPr>
          <w:szCs w:val="24"/>
        </w:rPr>
        <w:t>Trachsler</w:t>
      </w:r>
      <w:proofErr w:type="spellEnd"/>
      <w:r w:rsidRPr="00646C01">
        <w:rPr>
          <w:szCs w:val="24"/>
        </w:rPr>
        <w:t xml:space="preserve"> entre 2010 et 2014</w:t>
      </w:r>
      <w:r w:rsidR="00B963EC">
        <w:rPr>
          <w:szCs w:val="24"/>
        </w:rPr>
        <w:t xml:space="preserve">, qui </w:t>
      </w:r>
      <w:proofErr w:type="gramStart"/>
      <w:r w:rsidR="00B963EC">
        <w:rPr>
          <w:szCs w:val="24"/>
        </w:rPr>
        <w:t>a</w:t>
      </w:r>
      <w:proofErr w:type="gramEnd"/>
      <w:r w:rsidR="00B963EC">
        <w:rPr>
          <w:szCs w:val="24"/>
        </w:rPr>
        <w:t xml:space="preserve"> donné lieu à plusieurs publications, dont </w:t>
      </w:r>
      <w:r w:rsidR="00B963EC" w:rsidRPr="00646C01">
        <w:rPr>
          <w:i/>
          <w:szCs w:val="24"/>
        </w:rPr>
        <w:t>L’étude des fabliaux après le « Nouveau recueil complet des fabliaux »</w:t>
      </w:r>
      <w:r w:rsidR="00B963EC">
        <w:rPr>
          <w:szCs w:val="24"/>
        </w:rPr>
        <w:t xml:space="preserve"> (2014). </w:t>
      </w:r>
    </w:p>
    <w:p w:rsidR="00B963EC" w:rsidRDefault="00B16311" w:rsidP="00515FEB">
      <w:pPr>
        <w:ind w:firstLine="454"/>
        <w:rPr>
          <w:szCs w:val="24"/>
        </w:rPr>
      </w:pPr>
      <w:r w:rsidRPr="00646C01">
        <w:rPr>
          <w:szCs w:val="24"/>
        </w:rPr>
        <w:t xml:space="preserve">L’objectif du </w:t>
      </w:r>
      <w:r w:rsidR="00B963EC">
        <w:rPr>
          <w:szCs w:val="24"/>
        </w:rPr>
        <w:t xml:space="preserve">présent programme, on l’aura compris, est </w:t>
      </w:r>
      <w:r w:rsidRPr="00646C01">
        <w:rPr>
          <w:szCs w:val="24"/>
        </w:rPr>
        <w:t xml:space="preserve">de tenter </w:t>
      </w:r>
      <w:r w:rsidR="00B963EC">
        <w:rPr>
          <w:szCs w:val="24"/>
        </w:rPr>
        <w:t xml:space="preserve">de combler en partie ce manque, de </w:t>
      </w:r>
      <w:r w:rsidRPr="00646C01">
        <w:rPr>
          <w:szCs w:val="24"/>
        </w:rPr>
        <w:t xml:space="preserve">renouveler </w:t>
      </w:r>
      <w:r w:rsidR="00B963EC">
        <w:rPr>
          <w:szCs w:val="24"/>
        </w:rPr>
        <w:t>ou en tout cas de relancer la réflexion sur le fabliau</w:t>
      </w:r>
      <w:r w:rsidRPr="00646C01">
        <w:rPr>
          <w:szCs w:val="24"/>
        </w:rPr>
        <w:t>,</w:t>
      </w:r>
      <w:r w:rsidR="00B963EC">
        <w:rPr>
          <w:szCs w:val="24"/>
        </w:rPr>
        <w:t xml:space="preserve"> en revenant sur des pistes déjà ouvertes à l’exploration ou bien en tâchant d’en frayer de nouvelles.</w:t>
      </w:r>
      <w:r w:rsidRPr="00646C01">
        <w:rPr>
          <w:szCs w:val="24"/>
        </w:rPr>
        <w:t xml:space="preserve"> </w:t>
      </w:r>
    </w:p>
    <w:p w:rsidR="00FA028B" w:rsidRDefault="001B6F2F" w:rsidP="00515FEB">
      <w:pPr>
        <w:ind w:firstLine="454"/>
        <w:rPr>
          <w:szCs w:val="24"/>
        </w:rPr>
      </w:pPr>
      <w:r w:rsidRPr="00646C01">
        <w:rPr>
          <w:szCs w:val="24"/>
        </w:rPr>
        <w:t xml:space="preserve">Dans cette perspective, </w:t>
      </w:r>
      <w:r w:rsidR="00FA028B">
        <w:rPr>
          <w:szCs w:val="24"/>
        </w:rPr>
        <w:t xml:space="preserve">nous avons </w:t>
      </w:r>
      <w:r w:rsidR="00515FEB">
        <w:rPr>
          <w:szCs w:val="24"/>
        </w:rPr>
        <w:t>form</w:t>
      </w:r>
      <w:r w:rsidR="00FA028B">
        <w:rPr>
          <w:szCs w:val="24"/>
        </w:rPr>
        <w:t xml:space="preserve">é un comité scientifique </w:t>
      </w:r>
      <w:r w:rsidR="00D42ABF">
        <w:rPr>
          <w:szCs w:val="24"/>
        </w:rPr>
        <w:t xml:space="preserve">international </w:t>
      </w:r>
      <w:r w:rsidR="00FA028B">
        <w:rPr>
          <w:szCs w:val="24"/>
        </w:rPr>
        <w:t>constitué des deux organisateurs ainsi que d’Ann</w:t>
      </w:r>
      <w:r w:rsidR="00164BE0">
        <w:rPr>
          <w:szCs w:val="24"/>
        </w:rPr>
        <w:t>e</w:t>
      </w:r>
      <w:r w:rsidR="00FA028B">
        <w:rPr>
          <w:szCs w:val="24"/>
        </w:rPr>
        <w:t xml:space="preserve"> </w:t>
      </w:r>
      <w:proofErr w:type="spellStart"/>
      <w:r w:rsidR="00FA028B">
        <w:rPr>
          <w:szCs w:val="24"/>
        </w:rPr>
        <w:t>Cobby</w:t>
      </w:r>
      <w:proofErr w:type="spellEnd"/>
      <w:r w:rsidR="00FA028B">
        <w:rPr>
          <w:szCs w:val="24"/>
        </w:rPr>
        <w:t xml:space="preserve"> (Cambridge), Alain </w:t>
      </w:r>
      <w:proofErr w:type="spellStart"/>
      <w:r w:rsidR="00FA028B">
        <w:rPr>
          <w:szCs w:val="24"/>
        </w:rPr>
        <w:t>Corbellari</w:t>
      </w:r>
      <w:proofErr w:type="spellEnd"/>
      <w:r w:rsidR="00FA028B">
        <w:rPr>
          <w:szCs w:val="24"/>
        </w:rPr>
        <w:t xml:space="preserve"> (Lausanne et Neuchâtel), Jean-Marie</w:t>
      </w:r>
      <w:r w:rsidR="00FA028B" w:rsidRPr="00646C01">
        <w:rPr>
          <w:szCs w:val="24"/>
        </w:rPr>
        <w:t xml:space="preserve"> Fritz</w:t>
      </w:r>
      <w:r w:rsidR="00FA028B">
        <w:rPr>
          <w:szCs w:val="24"/>
        </w:rPr>
        <w:t xml:space="preserve"> (Dijon) et Romaine Wolf-</w:t>
      </w:r>
      <w:proofErr w:type="spellStart"/>
      <w:r w:rsidR="00FA028B">
        <w:rPr>
          <w:szCs w:val="24"/>
        </w:rPr>
        <w:t>Bonvin</w:t>
      </w:r>
      <w:proofErr w:type="spellEnd"/>
      <w:r w:rsidR="00FA028B">
        <w:rPr>
          <w:szCs w:val="24"/>
        </w:rPr>
        <w:t xml:space="preserve"> (Lyon). Après une réunion préparatoire organisée le 12 décembre 2018 à Orléans, nous avons </w:t>
      </w:r>
      <w:r w:rsidR="00D42ABF">
        <w:rPr>
          <w:szCs w:val="24"/>
        </w:rPr>
        <w:t xml:space="preserve">décidé de privilégier </w:t>
      </w:r>
      <w:r w:rsidR="00FA028B">
        <w:rPr>
          <w:szCs w:val="24"/>
        </w:rPr>
        <w:t>quatre axes d’étude, que nous nous proposons d’explorer lors de quatre journées organisées alternativement à Orléans et Tours en 2020 et 2021 – l’ensemble devant donner lieu à une publication unique, qui pourra comporter plusieurs contributions des mêmes intervenants</w:t>
      </w:r>
      <w:r w:rsidR="00DE2E6B">
        <w:rPr>
          <w:szCs w:val="24"/>
        </w:rPr>
        <w:t xml:space="preserve">, ainsi probablement qu’une bibliographie analytique par A. </w:t>
      </w:r>
      <w:proofErr w:type="spellStart"/>
      <w:r w:rsidR="00DE2E6B">
        <w:rPr>
          <w:szCs w:val="24"/>
        </w:rPr>
        <w:t>Cobby</w:t>
      </w:r>
      <w:proofErr w:type="spellEnd"/>
      <w:r w:rsidR="00DE2E6B">
        <w:rPr>
          <w:szCs w:val="24"/>
        </w:rPr>
        <w:t>, prenant la suite de celle qu’elle a publiée en 2009.</w:t>
      </w:r>
    </w:p>
    <w:p w:rsidR="00515FEB" w:rsidRDefault="00515FEB" w:rsidP="00515FEB">
      <w:pPr>
        <w:ind w:firstLine="454"/>
        <w:rPr>
          <w:szCs w:val="24"/>
          <w:u w:val="single"/>
        </w:rPr>
      </w:pPr>
    </w:p>
    <w:p w:rsidR="006E45A3" w:rsidRPr="00DE2166" w:rsidRDefault="006E45A3" w:rsidP="006E45A3">
      <w:pPr>
        <w:ind w:firstLine="454"/>
        <w:rPr>
          <w:szCs w:val="24"/>
          <w:u w:val="single"/>
        </w:rPr>
      </w:pPr>
      <w:r>
        <w:rPr>
          <w:szCs w:val="24"/>
          <w:u w:val="single"/>
        </w:rPr>
        <w:t>Axe 1</w:t>
      </w:r>
      <w:r w:rsidRPr="00DE2166">
        <w:rPr>
          <w:szCs w:val="24"/>
          <w:u w:val="single"/>
        </w:rPr>
        <w:t> : Le fabliau comme pièce d’un ensemble (Tours,</w:t>
      </w:r>
      <w:r>
        <w:rPr>
          <w:szCs w:val="24"/>
          <w:u w:val="single"/>
        </w:rPr>
        <w:t xml:space="preserve"> vendredi 29 mai 2020)</w:t>
      </w:r>
    </w:p>
    <w:p w:rsidR="00C22081" w:rsidRDefault="006E45A3" w:rsidP="00C22081">
      <w:pPr>
        <w:ind w:firstLine="454"/>
        <w:rPr>
          <w:szCs w:val="24"/>
        </w:rPr>
      </w:pPr>
      <w:r>
        <w:rPr>
          <w:szCs w:val="24"/>
        </w:rPr>
        <w:t xml:space="preserve">Le fabliau est une pièce courte le plus souvent, et qui </w:t>
      </w:r>
      <w:r w:rsidR="00C22081">
        <w:rPr>
          <w:szCs w:val="24"/>
        </w:rPr>
        <w:t xml:space="preserve">en tant que pièce </w:t>
      </w:r>
      <w:r>
        <w:rPr>
          <w:szCs w:val="24"/>
        </w:rPr>
        <w:t>appartient à un ensemble</w:t>
      </w:r>
      <w:r w:rsidR="00C22081">
        <w:rPr>
          <w:szCs w:val="24"/>
        </w:rPr>
        <w:t xml:space="preserve"> sinon un tout</w:t>
      </w:r>
      <w:r>
        <w:rPr>
          <w:szCs w:val="24"/>
        </w:rPr>
        <w:t xml:space="preserve">. </w:t>
      </w:r>
    </w:p>
    <w:p w:rsidR="006E45A3" w:rsidRDefault="006E45A3" w:rsidP="00C22081">
      <w:pPr>
        <w:ind w:firstLine="454"/>
        <w:rPr>
          <w:szCs w:val="24"/>
        </w:rPr>
      </w:pPr>
      <w:r>
        <w:rPr>
          <w:szCs w:val="24"/>
        </w:rPr>
        <w:t xml:space="preserve">Cet ensemble est d’abord celui du manuscrit, au sein duquel le fabliau apparaît </w:t>
      </w:r>
      <w:r w:rsidR="00C22081">
        <w:rPr>
          <w:szCs w:val="24"/>
        </w:rPr>
        <w:t xml:space="preserve">isolé </w:t>
      </w:r>
      <w:r>
        <w:rPr>
          <w:szCs w:val="24"/>
        </w:rPr>
        <w:t>ou en groupe, au milieu d’autres textes, les manuscrits comportant seulement des fabliaux représentant de fait une catégorie tout à fait marginale parmi la quar</w:t>
      </w:r>
      <w:r w:rsidR="00C765D4">
        <w:rPr>
          <w:szCs w:val="24"/>
        </w:rPr>
        <w:t xml:space="preserve">antaine de </w:t>
      </w:r>
      <w:proofErr w:type="spellStart"/>
      <w:r w:rsidR="00C765D4" w:rsidRPr="00C765D4">
        <w:rPr>
          <w:i/>
          <w:szCs w:val="24"/>
        </w:rPr>
        <w:t>codices</w:t>
      </w:r>
      <w:proofErr w:type="spellEnd"/>
      <w:r>
        <w:rPr>
          <w:szCs w:val="24"/>
        </w:rPr>
        <w:t xml:space="preserve"> répertoriée dans le </w:t>
      </w:r>
      <w:r>
        <w:rPr>
          <w:i/>
          <w:szCs w:val="24"/>
        </w:rPr>
        <w:t>NRCF</w:t>
      </w:r>
      <w:r>
        <w:rPr>
          <w:szCs w:val="24"/>
        </w:rPr>
        <w:t>.</w:t>
      </w:r>
      <w:r w:rsidR="00C22081">
        <w:rPr>
          <w:szCs w:val="24"/>
        </w:rPr>
        <w:t xml:space="preserve"> Au sein des recueils manuscrits, l’association d’un ou plusieurs fabliaux à d’autres textes ou genres parfois très éloignés les uns des autres peut ménager d’intéressants effets de sens que plusieurs études récentes, en particulier dans le cadre </w:t>
      </w:r>
      <w:r w:rsidR="00DE2E6B">
        <w:rPr>
          <w:szCs w:val="24"/>
        </w:rPr>
        <w:t xml:space="preserve">du </w:t>
      </w:r>
      <w:r w:rsidR="00C22081">
        <w:rPr>
          <w:szCs w:val="24"/>
        </w:rPr>
        <w:t>programme de recherche</w:t>
      </w:r>
      <w:r w:rsidR="00C22081" w:rsidRPr="00646C01">
        <w:rPr>
          <w:szCs w:val="24"/>
        </w:rPr>
        <w:t xml:space="preserve"> « Lire en contexte à l’époque </w:t>
      </w:r>
      <w:proofErr w:type="spellStart"/>
      <w:r w:rsidR="00C22081" w:rsidRPr="00646C01">
        <w:rPr>
          <w:szCs w:val="24"/>
        </w:rPr>
        <w:t>prémoderne</w:t>
      </w:r>
      <w:proofErr w:type="spellEnd"/>
      <w:r w:rsidR="00C22081" w:rsidRPr="00646C01">
        <w:rPr>
          <w:szCs w:val="24"/>
        </w:rPr>
        <w:t>. Enquête sur les re</w:t>
      </w:r>
      <w:r w:rsidR="00C22081">
        <w:rPr>
          <w:szCs w:val="24"/>
        </w:rPr>
        <w:t xml:space="preserve">cueils manuscrits de fabliaux », ont déjà contribué à mettre en évidence </w:t>
      </w:r>
      <w:r w:rsidR="0068395A">
        <w:rPr>
          <w:szCs w:val="24"/>
        </w:rPr>
        <w:t xml:space="preserve">mais qui en appellent d’autres, chaque </w:t>
      </w:r>
      <w:r w:rsidR="00DE2E6B">
        <w:rPr>
          <w:szCs w:val="24"/>
        </w:rPr>
        <w:t>manuscrit offrant un cas particulier</w:t>
      </w:r>
      <w:r w:rsidR="0068395A">
        <w:rPr>
          <w:szCs w:val="24"/>
        </w:rPr>
        <w:t>.</w:t>
      </w:r>
      <w:r w:rsidR="00C22081">
        <w:rPr>
          <w:szCs w:val="24"/>
        </w:rPr>
        <w:t xml:space="preserve"> </w:t>
      </w:r>
    </w:p>
    <w:p w:rsidR="006E45A3" w:rsidRDefault="006E45A3" w:rsidP="006E45A3">
      <w:pPr>
        <w:ind w:firstLine="454"/>
        <w:rPr>
          <w:szCs w:val="24"/>
        </w:rPr>
      </w:pPr>
      <w:r>
        <w:rPr>
          <w:szCs w:val="24"/>
        </w:rPr>
        <w:t xml:space="preserve">Cet ensemble peut aussi être celui de l’œuvre de tel ou tel poète – citons, notamment, Jean Bodel, Gautier Le Leu, Rutebeuf, Jacques de </w:t>
      </w:r>
      <w:proofErr w:type="spellStart"/>
      <w:r>
        <w:rPr>
          <w:szCs w:val="24"/>
        </w:rPr>
        <w:t>Baisieux</w:t>
      </w:r>
      <w:proofErr w:type="spellEnd"/>
      <w:r>
        <w:rPr>
          <w:szCs w:val="24"/>
        </w:rPr>
        <w:t xml:space="preserve">, </w:t>
      </w:r>
      <w:proofErr w:type="spellStart"/>
      <w:r>
        <w:rPr>
          <w:szCs w:val="24"/>
        </w:rPr>
        <w:t>Watriquet</w:t>
      </w:r>
      <w:proofErr w:type="spellEnd"/>
      <w:r>
        <w:rPr>
          <w:szCs w:val="24"/>
        </w:rPr>
        <w:t xml:space="preserve"> de Couvin ou Jean de Condé –, œuvre où le fabliau occupe une place importante ou m</w:t>
      </w:r>
      <w:r w:rsidR="00C22081">
        <w:rPr>
          <w:szCs w:val="24"/>
        </w:rPr>
        <w:t>odeste, évidente ou surprenante et où</w:t>
      </w:r>
      <w:r>
        <w:rPr>
          <w:szCs w:val="24"/>
        </w:rPr>
        <w:t xml:space="preserve"> en tout cas </w:t>
      </w:r>
      <w:r w:rsidR="00C22081">
        <w:rPr>
          <w:szCs w:val="24"/>
        </w:rPr>
        <w:t xml:space="preserve">il </w:t>
      </w:r>
      <w:r>
        <w:rPr>
          <w:szCs w:val="24"/>
        </w:rPr>
        <w:t>est susceptible de prendre sens en fonction d’un ensemble de compositions attribuées ou attribuables à un même auteur représentant, pour autant qu’ils se laissent définir, un contexte et une poétique spécifiques.</w:t>
      </w:r>
    </w:p>
    <w:p w:rsidR="006E45A3" w:rsidRDefault="006E45A3" w:rsidP="006E45A3">
      <w:pPr>
        <w:ind w:firstLine="454"/>
        <w:rPr>
          <w:szCs w:val="24"/>
        </w:rPr>
      </w:pPr>
      <w:r>
        <w:rPr>
          <w:szCs w:val="24"/>
        </w:rPr>
        <w:t>Enfin on pourra prolonger ce questionnement</w:t>
      </w:r>
      <w:r w:rsidR="00C22081">
        <w:rPr>
          <w:szCs w:val="24"/>
        </w:rPr>
        <w:t xml:space="preserve"> sur les relations de la partie au tout</w:t>
      </w:r>
      <w:r>
        <w:rPr>
          <w:szCs w:val="24"/>
        </w:rPr>
        <w:t xml:space="preserve"> jusqu’à l’époque moderne et contemporaine, en envisageant la place occupée par le fabliau dans les recueils</w:t>
      </w:r>
      <w:r w:rsidR="00164BE0">
        <w:rPr>
          <w:szCs w:val="24"/>
        </w:rPr>
        <w:t xml:space="preserve">, </w:t>
      </w:r>
      <w:r>
        <w:rPr>
          <w:szCs w:val="24"/>
        </w:rPr>
        <w:t>anthologies</w:t>
      </w:r>
      <w:r w:rsidR="00164BE0">
        <w:rPr>
          <w:szCs w:val="24"/>
        </w:rPr>
        <w:t xml:space="preserve"> ou histoires de la littérature à partir du XV</w:t>
      </w:r>
      <w:r>
        <w:rPr>
          <w:szCs w:val="24"/>
        </w:rPr>
        <w:t>I</w:t>
      </w:r>
      <w:r>
        <w:rPr>
          <w:szCs w:val="24"/>
          <w:vertAlign w:val="superscript"/>
        </w:rPr>
        <w:t>e</w:t>
      </w:r>
      <w:r>
        <w:rPr>
          <w:szCs w:val="24"/>
        </w:rPr>
        <w:t xml:space="preserve"> siècle. </w:t>
      </w:r>
    </w:p>
    <w:p w:rsidR="006E45A3" w:rsidRDefault="006E45A3" w:rsidP="00515FEB">
      <w:pPr>
        <w:ind w:firstLine="454"/>
        <w:rPr>
          <w:szCs w:val="24"/>
          <w:u w:val="single"/>
        </w:rPr>
      </w:pPr>
    </w:p>
    <w:p w:rsidR="00FA028B" w:rsidRPr="00DE2166" w:rsidRDefault="006E45A3" w:rsidP="00515FEB">
      <w:pPr>
        <w:ind w:firstLine="454"/>
        <w:rPr>
          <w:szCs w:val="24"/>
          <w:u w:val="single"/>
        </w:rPr>
      </w:pPr>
      <w:r>
        <w:rPr>
          <w:szCs w:val="24"/>
          <w:u w:val="single"/>
        </w:rPr>
        <w:lastRenderedPageBreak/>
        <w:t>Axe 2</w:t>
      </w:r>
      <w:r w:rsidR="00FA028B" w:rsidRPr="00DE2166">
        <w:rPr>
          <w:szCs w:val="24"/>
          <w:u w:val="single"/>
        </w:rPr>
        <w:t xml:space="preserve"> : </w:t>
      </w:r>
      <w:proofErr w:type="gramStart"/>
      <w:r w:rsidR="00A85360" w:rsidRPr="00DE2166">
        <w:rPr>
          <w:szCs w:val="24"/>
          <w:u w:val="single"/>
        </w:rPr>
        <w:t>Le</w:t>
      </w:r>
      <w:r w:rsidR="00613964">
        <w:rPr>
          <w:szCs w:val="24"/>
          <w:u w:val="single"/>
        </w:rPr>
        <w:t xml:space="preserve"> </w:t>
      </w:r>
      <w:r w:rsidR="000D74F7">
        <w:rPr>
          <w:szCs w:val="24"/>
          <w:u w:val="single"/>
        </w:rPr>
        <w:t>matérialismes</w:t>
      </w:r>
      <w:proofErr w:type="gramEnd"/>
      <w:r w:rsidR="000D74F7">
        <w:rPr>
          <w:szCs w:val="24"/>
          <w:u w:val="single"/>
        </w:rPr>
        <w:t xml:space="preserve"> des </w:t>
      </w:r>
      <w:r w:rsidR="00613964">
        <w:rPr>
          <w:szCs w:val="24"/>
          <w:u w:val="single"/>
        </w:rPr>
        <w:t>fabliau</w:t>
      </w:r>
      <w:r w:rsidR="000D74F7">
        <w:rPr>
          <w:szCs w:val="24"/>
          <w:u w:val="single"/>
        </w:rPr>
        <w:t>x</w:t>
      </w:r>
      <w:r w:rsidR="00613964">
        <w:rPr>
          <w:szCs w:val="24"/>
          <w:u w:val="single"/>
        </w:rPr>
        <w:t> : relations humaines et rapports sociaux</w:t>
      </w:r>
      <w:r>
        <w:rPr>
          <w:szCs w:val="24"/>
          <w:u w:val="single"/>
        </w:rPr>
        <w:t xml:space="preserve"> (Orléans, </w:t>
      </w:r>
      <w:r w:rsidR="00613964">
        <w:rPr>
          <w:szCs w:val="24"/>
          <w:u w:val="single"/>
        </w:rPr>
        <w:t>vendredi 13 novembre</w:t>
      </w:r>
      <w:r>
        <w:rPr>
          <w:szCs w:val="24"/>
          <w:u w:val="single"/>
        </w:rPr>
        <w:t xml:space="preserve"> 2020</w:t>
      </w:r>
      <w:r w:rsidR="00613964">
        <w:rPr>
          <w:szCs w:val="24"/>
          <w:u w:val="single"/>
        </w:rPr>
        <w:t>)</w:t>
      </w:r>
    </w:p>
    <w:p w:rsidR="000D74F7" w:rsidRDefault="000D74F7" w:rsidP="000D74F7">
      <w:pPr>
        <w:ind w:firstLine="454"/>
        <w:rPr>
          <w:szCs w:val="24"/>
        </w:rPr>
      </w:pPr>
      <w:r>
        <w:rPr>
          <w:szCs w:val="24"/>
        </w:rPr>
        <w:t>Plutôt que réaliste, le fabliau serait matérialiste en cela que son projet fondamental – fondateur ? – viserait à déconstruire l’idéalisme de la littérature et de la philosophie contemporaine</w:t>
      </w:r>
      <w:r w:rsidR="00C765D4">
        <w:rPr>
          <w:szCs w:val="24"/>
        </w:rPr>
        <w:t>s</w:t>
      </w:r>
      <w:r>
        <w:rPr>
          <w:szCs w:val="24"/>
        </w:rPr>
        <w:t xml:space="preserve"> en leur opposant la représentation d’une humanité saisie parfois dans sa trivialité la plus crue et ses fantasmes les moins avouables (A</w:t>
      </w:r>
      <w:r w:rsidR="00354F77">
        <w:rPr>
          <w:szCs w:val="24"/>
        </w:rPr>
        <w:t>.</w:t>
      </w:r>
      <w:r>
        <w:rPr>
          <w:szCs w:val="24"/>
        </w:rPr>
        <w:t xml:space="preserve"> </w:t>
      </w:r>
      <w:proofErr w:type="spellStart"/>
      <w:r>
        <w:rPr>
          <w:szCs w:val="24"/>
        </w:rPr>
        <w:t>Corbellari</w:t>
      </w:r>
      <w:proofErr w:type="spellEnd"/>
      <w:r>
        <w:rPr>
          <w:szCs w:val="24"/>
        </w:rPr>
        <w:t xml:space="preserve">, </w:t>
      </w:r>
      <w:r>
        <w:rPr>
          <w:i/>
          <w:szCs w:val="24"/>
        </w:rPr>
        <w:t>Des fabliaux et des hommes</w:t>
      </w:r>
      <w:r>
        <w:rPr>
          <w:szCs w:val="24"/>
        </w:rPr>
        <w:t xml:space="preserve">, 2015). Indépendamment d’une possible construction du fabliau comme contre-pied, ou croque-en-jambe, à un modèle en ferveur mais illusoire, la question du matérialisme des fabliaux mérite d’être envisagée en soi et pour soi, ce matérialisme étant entendu ici comme goût manifeste et assumé pour ce qui constitue la matière même de l’homme comme « animal social », c’est-à-dire comme individu avec ses aspirations propres, souvent matérielles et fréquemment liées au corps et à ses exigences, mais aussi, et en même temps, comme membre d’un groupe ou d’une collectivité, interagissant avec les autres, selon des règles et des normes, au sein d’une structure sociale qui s’impose à lui mais qu’il peut aussi contester, dont il peut être victime mais aussi </w:t>
      </w:r>
      <w:r w:rsidR="00DE2E6B">
        <w:rPr>
          <w:szCs w:val="24"/>
        </w:rPr>
        <w:t xml:space="preserve">tirer </w:t>
      </w:r>
      <w:r>
        <w:rPr>
          <w:szCs w:val="24"/>
        </w:rPr>
        <w:t xml:space="preserve">un profit plus ou moins grand.  </w:t>
      </w:r>
    </w:p>
    <w:p w:rsidR="000D74F7" w:rsidRDefault="000D74F7" w:rsidP="000D74F7">
      <w:pPr>
        <w:ind w:firstLine="454"/>
        <w:rPr>
          <w:szCs w:val="24"/>
        </w:rPr>
      </w:pPr>
      <w:r>
        <w:rPr>
          <w:szCs w:val="24"/>
        </w:rPr>
        <w:t>Dans une perspective littéraire ouverte à l’histoire et aux sciences sociales, l’objectif de cet axe est d’étudier la représentation des relations humaines et des rapports sociaux dans un genre qui accorde au corps, à la ruse et au profit, aux rapports de domination et de pouvoir, directs ou médiatisés par les institutions, et à la violence physique une import</w:t>
      </w:r>
      <w:r w:rsidR="00C61C07">
        <w:rPr>
          <w:szCs w:val="24"/>
        </w:rPr>
        <w:t>ance tout à fait particulière – u</w:t>
      </w:r>
      <w:r>
        <w:rPr>
          <w:szCs w:val="24"/>
        </w:rPr>
        <w:t>ne i</w:t>
      </w:r>
      <w:bookmarkStart w:id="0" w:name="_GoBack"/>
      <w:bookmarkEnd w:id="0"/>
      <w:r>
        <w:rPr>
          <w:szCs w:val="24"/>
        </w:rPr>
        <w:t>mportance qu’il convient peut-être de faire entrer dans la définition même du fabliau comme genre.</w:t>
      </w:r>
    </w:p>
    <w:p w:rsidR="00515FEB" w:rsidRDefault="00515FEB" w:rsidP="00515FEB">
      <w:pPr>
        <w:ind w:firstLine="454"/>
        <w:rPr>
          <w:szCs w:val="24"/>
          <w:u w:val="single"/>
        </w:rPr>
      </w:pPr>
    </w:p>
    <w:p w:rsidR="00FA028B" w:rsidRPr="00DE2166" w:rsidRDefault="00FA028B" w:rsidP="00515FEB">
      <w:pPr>
        <w:ind w:firstLine="454"/>
        <w:rPr>
          <w:szCs w:val="24"/>
          <w:u w:val="single"/>
        </w:rPr>
      </w:pPr>
      <w:r w:rsidRPr="00DE2166">
        <w:rPr>
          <w:szCs w:val="24"/>
          <w:u w:val="single"/>
        </w:rPr>
        <w:t xml:space="preserve">Axe 3 : </w:t>
      </w:r>
      <w:r w:rsidR="00B34793" w:rsidRPr="00DE2166">
        <w:rPr>
          <w:szCs w:val="24"/>
          <w:u w:val="single"/>
        </w:rPr>
        <w:t>Stylistique du fabliau</w:t>
      </w:r>
      <w:r w:rsidRPr="00DE2166">
        <w:rPr>
          <w:szCs w:val="24"/>
          <w:u w:val="single"/>
        </w:rPr>
        <w:t xml:space="preserve"> (Orléans, </w:t>
      </w:r>
      <w:r w:rsidR="006E45A3">
        <w:rPr>
          <w:szCs w:val="24"/>
          <w:u w:val="single"/>
        </w:rPr>
        <w:t xml:space="preserve">fin mai </w:t>
      </w:r>
      <w:r w:rsidR="00811E7E">
        <w:rPr>
          <w:szCs w:val="24"/>
          <w:u w:val="single"/>
        </w:rPr>
        <w:t>2021)</w:t>
      </w:r>
    </w:p>
    <w:p w:rsidR="0068395A" w:rsidRDefault="0068395A" w:rsidP="00515FEB">
      <w:pPr>
        <w:ind w:firstLine="454"/>
        <w:rPr>
          <w:szCs w:val="24"/>
        </w:rPr>
      </w:pPr>
      <w:r>
        <w:rPr>
          <w:szCs w:val="24"/>
        </w:rPr>
        <w:t xml:space="preserve">Il s’agira ici de chercher à développer une approche stylistique du fabliau, en insistant sur l’étude de la langue (y compris dans ses formes dialectales, tel l’anglo-normand, ou français d’Angleterre), de la syntaxe, du lexique et de la prosodie. </w:t>
      </w:r>
    </w:p>
    <w:p w:rsidR="00C74DB6" w:rsidRDefault="0068395A" w:rsidP="00C74DB6">
      <w:pPr>
        <w:ind w:firstLine="454"/>
        <w:rPr>
          <w:szCs w:val="24"/>
        </w:rPr>
      </w:pPr>
      <w:r>
        <w:rPr>
          <w:szCs w:val="24"/>
        </w:rPr>
        <w:t>Forme en soi banale, le couplet d’octosyllabes adopté par la très grande majorité des fabliaux</w:t>
      </w:r>
      <w:r w:rsidR="00C74DB6">
        <w:rPr>
          <w:szCs w:val="24"/>
        </w:rPr>
        <w:t xml:space="preserve"> offre une large palette de moyens d’expression qui méritent d’être considérés avec leurs effets propres, </w:t>
      </w:r>
      <w:r w:rsidR="00130FF9">
        <w:rPr>
          <w:szCs w:val="24"/>
        </w:rPr>
        <w:t xml:space="preserve">éventuellement </w:t>
      </w:r>
      <w:r w:rsidR="00C74DB6">
        <w:rPr>
          <w:szCs w:val="24"/>
        </w:rPr>
        <w:t xml:space="preserve">en regard d’autres études consacrées, par exemple, au roman en vers (on pense notamment à D. James-Raoul, </w:t>
      </w:r>
      <w:r w:rsidR="00C74DB6">
        <w:rPr>
          <w:i/>
          <w:szCs w:val="24"/>
        </w:rPr>
        <w:t>Chrétien de Troyes, la griffe d’un style</w:t>
      </w:r>
      <w:r w:rsidR="00C74DB6">
        <w:rPr>
          <w:szCs w:val="24"/>
        </w:rPr>
        <w:t>, 2007). Il est en outre des exceptions remarquables à cette dominante octosyllabique, tels</w:t>
      </w:r>
      <w:r w:rsidR="000D74F7">
        <w:rPr>
          <w:szCs w:val="24"/>
        </w:rPr>
        <w:t xml:space="preserve"> </w:t>
      </w:r>
      <w:proofErr w:type="spellStart"/>
      <w:r w:rsidR="000D74F7">
        <w:rPr>
          <w:i/>
          <w:szCs w:val="24"/>
        </w:rPr>
        <w:t>Richeut</w:t>
      </w:r>
      <w:proofErr w:type="spellEnd"/>
      <w:r w:rsidR="000D74F7">
        <w:rPr>
          <w:szCs w:val="24"/>
        </w:rPr>
        <w:t xml:space="preserve"> ou </w:t>
      </w:r>
      <w:r w:rsidR="00C74DB6">
        <w:rPr>
          <w:i/>
          <w:szCs w:val="24"/>
        </w:rPr>
        <w:t xml:space="preserve">Le Prêtre qui fut mis au </w:t>
      </w:r>
      <w:proofErr w:type="spellStart"/>
      <w:r w:rsidR="00C74DB6">
        <w:rPr>
          <w:i/>
          <w:szCs w:val="24"/>
        </w:rPr>
        <w:t>lardier</w:t>
      </w:r>
      <w:proofErr w:type="spellEnd"/>
      <w:r w:rsidR="00C74DB6">
        <w:rPr>
          <w:szCs w:val="24"/>
        </w:rPr>
        <w:t>.</w:t>
      </w:r>
    </w:p>
    <w:p w:rsidR="00B34793" w:rsidRDefault="00C74DB6" w:rsidP="00515FEB">
      <w:pPr>
        <w:ind w:firstLine="454"/>
        <w:rPr>
          <w:szCs w:val="24"/>
        </w:rPr>
      </w:pPr>
      <w:r>
        <w:rPr>
          <w:szCs w:val="24"/>
        </w:rPr>
        <w:t>C</w:t>
      </w:r>
      <w:r w:rsidR="00B34793">
        <w:rPr>
          <w:szCs w:val="24"/>
        </w:rPr>
        <w:t xml:space="preserve">onstruction </w:t>
      </w:r>
      <w:r>
        <w:rPr>
          <w:szCs w:val="24"/>
        </w:rPr>
        <w:t>du fabliau, organisation de l’intrigue, effets liés à une tonalité plus ou moins courtoise voire épique peuvent aussi être concernés par cette approche stylistique qui voudrait privilégier aussi bien</w:t>
      </w:r>
      <w:r w:rsidR="00B34793">
        <w:rPr>
          <w:szCs w:val="24"/>
        </w:rPr>
        <w:t xml:space="preserve"> micro</w:t>
      </w:r>
      <w:r>
        <w:rPr>
          <w:szCs w:val="24"/>
        </w:rPr>
        <w:t>-lectures que</w:t>
      </w:r>
      <w:r w:rsidR="00B34793">
        <w:rPr>
          <w:szCs w:val="24"/>
        </w:rPr>
        <w:t xml:space="preserve"> mono-lecture</w:t>
      </w:r>
      <w:r>
        <w:rPr>
          <w:szCs w:val="24"/>
        </w:rPr>
        <w:t>s</w:t>
      </w:r>
      <w:r w:rsidR="00B34793">
        <w:rPr>
          <w:szCs w:val="24"/>
        </w:rPr>
        <w:t xml:space="preserve"> (</w:t>
      </w:r>
      <w:r>
        <w:rPr>
          <w:szCs w:val="24"/>
        </w:rPr>
        <w:t xml:space="preserve">utiles à mettre en lumière </w:t>
      </w:r>
      <w:r w:rsidR="00B34793">
        <w:rPr>
          <w:szCs w:val="24"/>
        </w:rPr>
        <w:t>tel ou tel fabliau</w:t>
      </w:r>
      <w:r w:rsidR="00DE2E6B">
        <w:rPr>
          <w:szCs w:val="24"/>
        </w:rPr>
        <w:t xml:space="preserve"> mé</w:t>
      </w:r>
      <w:r>
        <w:rPr>
          <w:szCs w:val="24"/>
        </w:rPr>
        <w:t xml:space="preserve">connu) ainsi que les comparaisons entre différentes versions d’un même fabliau – jusque dans leurs adaptations et réécritures modernes, dont le style peut être aussi tout un poème (voir </w:t>
      </w:r>
      <w:r w:rsidR="00430428">
        <w:rPr>
          <w:szCs w:val="24"/>
        </w:rPr>
        <w:t xml:space="preserve">par exemple </w:t>
      </w:r>
      <w:r>
        <w:rPr>
          <w:szCs w:val="24"/>
        </w:rPr>
        <w:t>les cas</w:t>
      </w:r>
      <w:r w:rsidR="00430428">
        <w:rPr>
          <w:szCs w:val="24"/>
        </w:rPr>
        <w:t xml:space="preserve"> d’adaptations versifiées</w:t>
      </w:r>
      <w:r>
        <w:rPr>
          <w:szCs w:val="24"/>
        </w:rPr>
        <w:t xml:space="preserve"> de Barthélemy Imbert</w:t>
      </w:r>
      <w:r w:rsidR="00430428">
        <w:rPr>
          <w:szCs w:val="24"/>
        </w:rPr>
        <w:t xml:space="preserve"> en 1788 ou d’Auguste Rigaud en 1825).</w:t>
      </w:r>
      <w:r>
        <w:rPr>
          <w:szCs w:val="24"/>
        </w:rPr>
        <w:t xml:space="preserve"> </w:t>
      </w:r>
    </w:p>
    <w:p w:rsidR="00515FEB" w:rsidRDefault="00515FEB" w:rsidP="00515FEB">
      <w:pPr>
        <w:ind w:firstLine="454"/>
        <w:rPr>
          <w:szCs w:val="24"/>
          <w:u w:val="single"/>
        </w:rPr>
      </w:pPr>
    </w:p>
    <w:p w:rsidR="00C57371" w:rsidRPr="009F38A9" w:rsidRDefault="00C57371" w:rsidP="00515FEB">
      <w:pPr>
        <w:ind w:firstLine="454"/>
        <w:rPr>
          <w:szCs w:val="24"/>
          <w:u w:val="single"/>
        </w:rPr>
      </w:pPr>
      <w:r w:rsidRPr="009F38A9">
        <w:rPr>
          <w:szCs w:val="24"/>
          <w:u w:val="single"/>
        </w:rPr>
        <w:t xml:space="preserve">Axe 4 : </w:t>
      </w:r>
      <w:r w:rsidR="00A85360" w:rsidRPr="009F38A9">
        <w:rPr>
          <w:szCs w:val="24"/>
          <w:u w:val="single"/>
        </w:rPr>
        <w:t xml:space="preserve">Avatars </w:t>
      </w:r>
      <w:r w:rsidRPr="009F38A9">
        <w:rPr>
          <w:szCs w:val="24"/>
          <w:u w:val="single"/>
        </w:rPr>
        <w:t xml:space="preserve">et postérité du fabliau (Tours, </w:t>
      </w:r>
      <w:r w:rsidR="00D42ABF">
        <w:rPr>
          <w:szCs w:val="24"/>
          <w:u w:val="single"/>
        </w:rPr>
        <w:t xml:space="preserve">début novembre </w:t>
      </w:r>
      <w:r w:rsidR="00811E7E">
        <w:rPr>
          <w:szCs w:val="24"/>
          <w:u w:val="single"/>
        </w:rPr>
        <w:t>2021)</w:t>
      </w:r>
    </w:p>
    <w:p w:rsidR="00C61C07" w:rsidRDefault="00845D99" w:rsidP="00515FEB">
      <w:pPr>
        <w:ind w:firstLine="454"/>
        <w:rPr>
          <w:szCs w:val="24"/>
        </w:rPr>
      </w:pPr>
      <w:r>
        <w:rPr>
          <w:szCs w:val="24"/>
        </w:rPr>
        <w:t>Même si le fabliau proprement dit est un</w:t>
      </w:r>
      <w:r w:rsidR="00925A12">
        <w:rPr>
          <w:szCs w:val="24"/>
        </w:rPr>
        <w:t xml:space="preserve"> genre</w:t>
      </w:r>
      <w:r w:rsidR="00C61C07">
        <w:rPr>
          <w:szCs w:val="24"/>
        </w:rPr>
        <w:t xml:space="preserve"> dont l’extension est généralement considérée comme relativement</w:t>
      </w:r>
      <w:r>
        <w:rPr>
          <w:szCs w:val="24"/>
        </w:rPr>
        <w:t xml:space="preserve"> limité dans le temps et dans l’espace</w:t>
      </w:r>
      <w:r w:rsidR="00925A12">
        <w:rPr>
          <w:szCs w:val="24"/>
        </w:rPr>
        <w:t xml:space="preserve"> – de la fin du XII</w:t>
      </w:r>
      <w:r w:rsidR="00F14437">
        <w:rPr>
          <w:szCs w:val="24"/>
          <w:vertAlign w:val="superscript"/>
        </w:rPr>
        <w:t>e</w:t>
      </w:r>
      <w:r w:rsidR="00925A12">
        <w:rPr>
          <w:szCs w:val="24"/>
        </w:rPr>
        <w:t xml:space="preserve"> siècle au début du XIV</w:t>
      </w:r>
      <w:r w:rsidR="00F14437">
        <w:rPr>
          <w:szCs w:val="24"/>
          <w:vertAlign w:val="superscript"/>
        </w:rPr>
        <w:t>e</w:t>
      </w:r>
      <w:r w:rsidR="00925A12">
        <w:rPr>
          <w:szCs w:val="24"/>
        </w:rPr>
        <w:t xml:space="preserve"> siècle, essentiellement dans le Nord de la France –, </w:t>
      </w:r>
      <w:r w:rsidR="00C61C07">
        <w:rPr>
          <w:szCs w:val="24"/>
        </w:rPr>
        <w:t xml:space="preserve">les possibilités de rapprochements, qu’il s’agisse de phénomènes intertextuels ou simplement de comparaisons, sont nombreuses entre le fabliau et </w:t>
      </w:r>
      <w:r w:rsidR="009F38A9">
        <w:rPr>
          <w:szCs w:val="24"/>
        </w:rPr>
        <w:t>d’autres formes</w:t>
      </w:r>
      <w:r w:rsidR="00C61C07">
        <w:rPr>
          <w:szCs w:val="24"/>
        </w:rPr>
        <w:t xml:space="preserve"> ou genres qui se sont développé</w:t>
      </w:r>
      <w:r w:rsidR="009F38A9">
        <w:rPr>
          <w:szCs w:val="24"/>
        </w:rPr>
        <w:t xml:space="preserve">s </w:t>
      </w:r>
      <w:r w:rsidR="00C61C07">
        <w:rPr>
          <w:szCs w:val="24"/>
        </w:rPr>
        <w:t xml:space="preserve">aussi bien en français que </w:t>
      </w:r>
      <w:r w:rsidR="009F38A9">
        <w:rPr>
          <w:szCs w:val="24"/>
        </w:rPr>
        <w:t>dans d’autres langues</w:t>
      </w:r>
      <w:r w:rsidR="00C61C07">
        <w:rPr>
          <w:szCs w:val="24"/>
        </w:rPr>
        <w:t xml:space="preserve">, à la même période ou bien au-delà, </w:t>
      </w:r>
      <w:r w:rsidR="009F38A9">
        <w:rPr>
          <w:szCs w:val="24"/>
        </w:rPr>
        <w:t>du XIV</w:t>
      </w:r>
      <w:r w:rsidR="00F14437">
        <w:rPr>
          <w:szCs w:val="24"/>
          <w:vertAlign w:val="superscript"/>
        </w:rPr>
        <w:t>e</w:t>
      </w:r>
      <w:r w:rsidR="009F38A9">
        <w:rPr>
          <w:szCs w:val="24"/>
        </w:rPr>
        <w:t xml:space="preserve"> au XVI</w:t>
      </w:r>
      <w:r w:rsidR="00F14437">
        <w:rPr>
          <w:szCs w:val="24"/>
          <w:vertAlign w:val="superscript"/>
        </w:rPr>
        <w:t>e</w:t>
      </w:r>
      <w:r w:rsidR="00C61C07">
        <w:rPr>
          <w:szCs w:val="24"/>
        </w:rPr>
        <w:t xml:space="preserve"> siècle</w:t>
      </w:r>
      <w:r w:rsidR="00222A72">
        <w:rPr>
          <w:szCs w:val="24"/>
        </w:rPr>
        <w:t xml:space="preserve">. </w:t>
      </w:r>
    </w:p>
    <w:p w:rsidR="00726584" w:rsidRPr="00A85360" w:rsidRDefault="009F38A9" w:rsidP="00515FEB">
      <w:pPr>
        <w:ind w:firstLine="454"/>
        <w:rPr>
          <w:szCs w:val="24"/>
        </w:rPr>
      </w:pPr>
      <w:r>
        <w:rPr>
          <w:szCs w:val="24"/>
        </w:rPr>
        <w:t>On pourra ainsi envisager</w:t>
      </w:r>
      <w:r w:rsidR="00925A12">
        <w:rPr>
          <w:szCs w:val="24"/>
        </w:rPr>
        <w:t>, pour prolonger un certain nombre d’études déjà existantes,</w:t>
      </w:r>
      <w:r>
        <w:rPr>
          <w:szCs w:val="24"/>
        </w:rPr>
        <w:t xml:space="preserve"> les rapports</w:t>
      </w:r>
      <w:r w:rsidR="00222A72">
        <w:rPr>
          <w:szCs w:val="24"/>
        </w:rPr>
        <w:t xml:space="preserve"> d’influence ou simplement de proximité</w:t>
      </w:r>
      <w:r>
        <w:rPr>
          <w:szCs w:val="24"/>
        </w:rPr>
        <w:t xml:space="preserve"> entre le fabliau et d’autres formes de récits</w:t>
      </w:r>
      <w:r w:rsidR="00925A12">
        <w:rPr>
          <w:szCs w:val="24"/>
        </w:rPr>
        <w:t xml:space="preserve"> </w:t>
      </w:r>
      <w:r w:rsidR="00925A12">
        <w:rPr>
          <w:szCs w:val="24"/>
        </w:rPr>
        <w:lastRenderedPageBreak/>
        <w:t xml:space="preserve">ou textes </w:t>
      </w:r>
      <w:r>
        <w:rPr>
          <w:szCs w:val="24"/>
        </w:rPr>
        <w:t xml:space="preserve">brefs, isolés ou </w:t>
      </w:r>
      <w:r w:rsidR="00925A12">
        <w:rPr>
          <w:szCs w:val="24"/>
        </w:rPr>
        <w:t xml:space="preserve">bien </w:t>
      </w:r>
      <w:r>
        <w:rPr>
          <w:szCs w:val="24"/>
        </w:rPr>
        <w:t>en recueils</w:t>
      </w:r>
      <w:r w:rsidR="00C61C07">
        <w:rPr>
          <w:szCs w:val="24"/>
        </w:rPr>
        <w:t>, en France ou ailleurs en Europe, dans trois directions principales</w:t>
      </w:r>
      <w:r w:rsidR="00811E7E">
        <w:rPr>
          <w:szCs w:val="24"/>
        </w:rPr>
        <w:t> :</w:t>
      </w:r>
      <w:r w:rsidR="00C61C07">
        <w:rPr>
          <w:szCs w:val="24"/>
        </w:rPr>
        <w:t xml:space="preserve"> 1) </w:t>
      </w:r>
      <w:r w:rsidR="008B13AB">
        <w:rPr>
          <w:szCs w:val="24"/>
        </w:rPr>
        <w:t xml:space="preserve">la </w:t>
      </w:r>
      <w:r w:rsidR="00C61C07">
        <w:rPr>
          <w:szCs w:val="24"/>
        </w:rPr>
        <w:t xml:space="preserve">comparaison avec les genres connexes et contemporains du </w:t>
      </w:r>
      <w:r w:rsidR="00C61C07">
        <w:rPr>
          <w:i/>
          <w:szCs w:val="24"/>
        </w:rPr>
        <w:t>lai</w:t>
      </w:r>
      <w:r w:rsidR="00C61C07">
        <w:rPr>
          <w:szCs w:val="24"/>
        </w:rPr>
        <w:t>, de la fable ou de l’</w:t>
      </w:r>
      <w:r w:rsidR="00C61C07">
        <w:rPr>
          <w:i/>
          <w:szCs w:val="24"/>
        </w:rPr>
        <w:t>exemplum</w:t>
      </w:r>
      <w:r w:rsidR="00C61C07">
        <w:rPr>
          <w:szCs w:val="24"/>
        </w:rPr>
        <w:t xml:space="preserve"> ; 2) </w:t>
      </w:r>
      <w:r w:rsidR="008B13AB">
        <w:rPr>
          <w:szCs w:val="24"/>
        </w:rPr>
        <w:t xml:space="preserve">la </w:t>
      </w:r>
      <w:r w:rsidR="00C61C07">
        <w:rPr>
          <w:szCs w:val="24"/>
        </w:rPr>
        <w:t xml:space="preserve">comparaison avec la farce et la nouvelle françaises de la fin du Moyen Age et de la Renaissance ; 3) </w:t>
      </w:r>
      <w:r w:rsidR="008B13AB">
        <w:rPr>
          <w:szCs w:val="24"/>
        </w:rPr>
        <w:t xml:space="preserve">la </w:t>
      </w:r>
      <w:r w:rsidR="00C61C07">
        <w:rPr>
          <w:szCs w:val="24"/>
        </w:rPr>
        <w:t xml:space="preserve">comparaison avec d’autres formes de la littérature </w:t>
      </w:r>
      <w:r w:rsidR="00DE2E6B">
        <w:rPr>
          <w:szCs w:val="24"/>
        </w:rPr>
        <w:t xml:space="preserve">médiévale </w:t>
      </w:r>
      <w:r w:rsidR="00C61C07">
        <w:rPr>
          <w:szCs w:val="24"/>
        </w:rPr>
        <w:t xml:space="preserve">européenne, </w:t>
      </w:r>
      <w:proofErr w:type="spellStart"/>
      <w:r w:rsidR="00A85360">
        <w:rPr>
          <w:i/>
          <w:szCs w:val="24"/>
        </w:rPr>
        <w:t>M</w:t>
      </w:r>
      <w:r w:rsidR="00726584">
        <w:rPr>
          <w:i/>
          <w:szCs w:val="24"/>
        </w:rPr>
        <w:t>äre</w:t>
      </w:r>
      <w:proofErr w:type="spellEnd"/>
      <w:r w:rsidR="00726584">
        <w:rPr>
          <w:szCs w:val="24"/>
        </w:rPr>
        <w:t xml:space="preserve"> en Allemagne, Chaucer</w:t>
      </w:r>
      <w:r w:rsidR="00811E7E">
        <w:rPr>
          <w:szCs w:val="24"/>
        </w:rPr>
        <w:t xml:space="preserve"> et le curieux </w:t>
      </w:r>
      <w:r w:rsidR="00811E7E">
        <w:rPr>
          <w:i/>
          <w:szCs w:val="24"/>
        </w:rPr>
        <w:t xml:space="preserve">Dame </w:t>
      </w:r>
      <w:proofErr w:type="spellStart"/>
      <w:r w:rsidR="00811E7E">
        <w:rPr>
          <w:i/>
          <w:szCs w:val="24"/>
        </w:rPr>
        <w:t>Sirith</w:t>
      </w:r>
      <w:proofErr w:type="spellEnd"/>
      <w:r w:rsidR="00726584">
        <w:rPr>
          <w:szCs w:val="24"/>
        </w:rPr>
        <w:t xml:space="preserve"> en Angleterre,</w:t>
      </w:r>
      <w:r w:rsidR="00925A12">
        <w:rPr>
          <w:szCs w:val="24"/>
        </w:rPr>
        <w:t xml:space="preserve"> le </w:t>
      </w:r>
      <w:proofErr w:type="spellStart"/>
      <w:r w:rsidR="00925A12">
        <w:rPr>
          <w:i/>
          <w:szCs w:val="24"/>
        </w:rPr>
        <w:t>Novellino</w:t>
      </w:r>
      <w:proofErr w:type="spellEnd"/>
      <w:r w:rsidR="00925A12">
        <w:rPr>
          <w:szCs w:val="24"/>
        </w:rPr>
        <w:t xml:space="preserve"> et</w:t>
      </w:r>
      <w:r w:rsidR="00811E7E">
        <w:rPr>
          <w:szCs w:val="24"/>
        </w:rPr>
        <w:t xml:space="preserve"> Boccace en Italie</w:t>
      </w:r>
      <w:r w:rsidR="00925A12">
        <w:rPr>
          <w:szCs w:val="24"/>
        </w:rPr>
        <w:t>,</w:t>
      </w:r>
      <w:r>
        <w:rPr>
          <w:szCs w:val="24"/>
        </w:rPr>
        <w:t xml:space="preserve"> </w:t>
      </w:r>
      <w:r w:rsidR="00C61C07">
        <w:rPr>
          <w:szCs w:val="24"/>
        </w:rPr>
        <w:t>etc.</w:t>
      </w:r>
      <w:r>
        <w:rPr>
          <w:szCs w:val="24"/>
        </w:rPr>
        <w:t xml:space="preserve"> </w:t>
      </w:r>
    </w:p>
    <w:p w:rsidR="005607E0" w:rsidRDefault="005607E0" w:rsidP="00515FEB">
      <w:pPr>
        <w:ind w:firstLine="454"/>
        <w:rPr>
          <w:szCs w:val="24"/>
        </w:rPr>
      </w:pPr>
    </w:p>
    <w:p w:rsidR="00164BE0" w:rsidRDefault="00164BE0" w:rsidP="00515FEB">
      <w:pPr>
        <w:ind w:firstLine="454"/>
        <w:rPr>
          <w:szCs w:val="24"/>
        </w:rPr>
      </w:pPr>
      <w:r>
        <w:rPr>
          <w:szCs w:val="24"/>
        </w:rPr>
        <w:t xml:space="preserve">Les propositions de contribution pour l’une et / ou l’autre des journées, brièvement résumées en quelques lignes, sont à retourner à Ph. </w:t>
      </w:r>
      <w:proofErr w:type="spellStart"/>
      <w:r>
        <w:rPr>
          <w:szCs w:val="24"/>
        </w:rPr>
        <w:t>Haugeard</w:t>
      </w:r>
      <w:proofErr w:type="spellEnd"/>
      <w:r>
        <w:rPr>
          <w:szCs w:val="24"/>
        </w:rPr>
        <w:t xml:space="preserve"> (</w:t>
      </w:r>
      <w:r w:rsidR="004230F2">
        <w:rPr>
          <w:szCs w:val="24"/>
        </w:rPr>
        <w:t>philippe.haugeard@orange.fr</w:t>
      </w:r>
      <w:r>
        <w:rPr>
          <w:szCs w:val="24"/>
        </w:rPr>
        <w:t xml:space="preserve">) et S. </w:t>
      </w:r>
      <w:proofErr w:type="spellStart"/>
      <w:r>
        <w:rPr>
          <w:szCs w:val="24"/>
        </w:rPr>
        <w:t>Menegaldo</w:t>
      </w:r>
      <w:proofErr w:type="spellEnd"/>
      <w:r>
        <w:rPr>
          <w:szCs w:val="24"/>
        </w:rPr>
        <w:t xml:space="preserve"> (</w:t>
      </w:r>
      <w:r w:rsidR="004230F2">
        <w:rPr>
          <w:szCs w:val="24"/>
        </w:rPr>
        <w:t>smenegaldo@yahoo.fr</w:t>
      </w:r>
      <w:r>
        <w:rPr>
          <w:szCs w:val="24"/>
        </w:rPr>
        <w:t xml:space="preserve">) avant le 15 novembre 2019. </w:t>
      </w:r>
    </w:p>
    <w:p w:rsidR="002B748C" w:rsidRPr="00646C01" w:rsidRDefault="002B748C" w:rsidP="00515FEB">
      <w:pPr>
        <w:ind w:firstLine="454"/>
        <w:rPr>
          <w:szCs w:val="24"/>
        </w:rPr>
      </w:pPr>
    </w:p>
    <w:sectPr w:rsidR="002B748C" w:rsidRPr="00646C01" w:rsidSect="004B5E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77" w:rsidRDefault="00C10077" w:rsidP="00811E7E">
      <w:r>
        <w:separator/>
      </w:r>
    </w:p>
  </w:endnote>
  <w:endnote w:type="continuationSeparator" w:id="0">
    <w:p w:rsidR="00C10077" w:rsidRDefault="00C10077" w:rsidP="00811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77" w:rsidRDefault="00C10077" w:rsidP="00811E7E">
      <w:r>
        <w:separator/>
      </w:r>
    </w:p>
  </w:footnote>
  <w:footnote w:type="continuationSeparator" w:id="0">
    <w:p w:rsidR="00C10077" w:rsidRDefault="00C10077" w:rsidP="00811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4720"/>
    <w:multiLevelType w:val="hybridMultilevel"/>
    <w:tmpl w:val="A248385A"/>
    <w:lvl w:ilvl="0" w:tplc="0C9E82FC">
      <w:start w:val="2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E03308"/>
    <w:multiLevelType w:val="hybridMultilevel"/>
    <w:tmpl w:val="16181C38"/>
    <w:lvl w:ilvl="0" w:tplc="EA66FF5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6311"/>
    <w:rsid w:val="00016DAC"/>
    <w:rsid w:val="00052BFE"/>
    <w:rsid w:val="00080419"/>
    <w:rsid w:val="000B5DB2"/>
    <w:rsid w:val="000D74F7"/>
    <w:rsid w:val="000F7BEF"/>
    <w:rsid w:val="00100750"/>
    <w:rsid w:val="00130FF9"/>
    <w:rsid w:val="0015126D"/>
    <w:rsid w:val="0015347B"/>
    <w:rsid w:val="00164BE0"/>
    <w:rsid w:val="00165D96"/>
    <w:rsid w:val="001B6F2F"/>
    <w:rsid w:val="001E6458"/>
    <w:rsid w:val="001F0346"/>
    <w:rsid w:val="002165E3"/>
    <w:rsid w:val="00222A72"/>
    <w:rsid w:val="0023349D"/>
    <w:rsid w:val="00260FBA"/>
    <w:rsid w:val="00287186"/>
    <w:rsid w:val="002A6E9A"/>
    <w:rsid w:val="002B5B11"/>
    <w:rsid w:val="002B748C"/>
    <w:rsid w:val="002C6286"/>
    <w:rsid w:val="00322648"/>
    <w:rsid w:val="00354F77"/>
    <w:rsid w:val="003A2F95"/>
    <w:rsid w:val="003C4522"/>
    <w:rsid w:val="003F346A"/>
    <w:rsid w:val="004230F2"/>
    <w:rsid w:val="00425C4D"/>
    <w:rsid w:val="00430428"/>
    <w:rsid w:val="00462FA7"/>
    <w:rsid w:val="00482272"/>
    <w:rsid w:val="004B5EED"/>
    <w:rsid w:val="004C66D2"/>
    <w:rsid w:val="004D21F5"/>
    <w:rsid w:val="004E57C1"/>
    <w:rsid w:val="00515FEB"/>
    <w:rsid w:val="005343BB"/>
    <w:rsid w:val="00542077"/>
    <w:rsid w:val="005607E0"/>
    <w:rsid w:val="005D1655"/>
    <w:rsid w:val="005D56E7"/>
    <w:rsid w:val="00613964"/>
    <w:rsid w:val="00646C01"/>
    <w:rsid w:val="00647805"/>
    <w:rsid w:val="006709EA"/>
    <w:rsid w:val="0068395A"/>
    <w:rsid w:val="006C6965"/>
    <w:rsid w:val="006E45A3"/>
    <w:rsid w:val="006F12D8"/>
    <w:rsid w:val="00704AFA"/>
    <w:rsid w:val="00726584"/>
    <w:rsid w:val="00747F98"/>
    <w:rsid w:val="00755D63"/>
    <w:rsid w:val="00782A7F"/>
    <w:rsid w:val="0080112E"/>
    <w:rsid w:val="00811E7E"/>
    <w:rsid w:val="00845D99"/>
    <w:rsid w:val="008B13AB"/>
    <w:rsid w:val="008C36DB"/>
    <w:rsid w:val="008C56DA"/>
    <w:rsid w:val="008D4BF2"/>
    <w:rsid w:val="00925A12"/>
    <w:rsid w:val="00971116"/>
    <w:rsid w:val="00995DA7"/>
    <w:rsid w:val="009B66A4"/>
    <w:rsid w:val="009C674A"/>
    <w:rsid w:val="009F38A9"/>
    <w:rsid w:val="00A1039C"/>
    <w:rsid w:val="00A34679"/>
    <w:rsid w:val="00A47CE6"/>
    <w:rsid w:val="00A85360"/>
    <w:rsid w:val="00B13C01"/>
    <w:rsid w:val="00B16311"/>
    <w:rsid w:val="00B34793"/>
    <w:rsid w:val="00B963EC"/>
    <w:rsid w:val="00B9678F"/>
    <w:rsid w:val="00C10077"/>
    <w:rsid w:val="00C22081"/>
    <w:rsid w:val="00C303D4"/>
    <w:rsid w:val="00C30862"/>
    <w:rsid w:val="00C57371"/>
    <w:rsid w:val="00C61C07"/>
    <w:rsid w:val="00C74DB6"/>
    <w:rsid w:val="00C765D4"/>
    <w:rsid w:val="00CB1EEA"/>
    <w:rsid w:val="00CD3AA5"/>
    <w:rsid w:val="00CE6F68"/>
    <w:rsid w:val="00CF39CE"/>
    <w:rsid w:val="00D06CBB"/>
    <w:rsid w:val="00D22A89"/>
    <w:rsid w:val="00D42ABF"/>
    <w:rsid w:val="00D551B7"/>
    <w:rsid w:val="00D71602"/>
    <w:rsid w:val="00DE2166"/>
    <w:rsid w:val="00DE2E6B"/>
    <w:rsid w:val="00E01525"/>
    <w:rsid w:val="00EA1815"/>
    <w:rsid w:val="00F100A6"/>
    <w:rsid w:val="00F14437"/>
    <w:rsid w:val="00F210C4"/>
    <w:rsid w:val="00F27832"/>
    <w:rsid w:val="00F44DA2"/>
    <w:rsid w:val="00FA028B"/>
    <w:rsid w:val="00FA45AD"/>
    <w:rsid w:val="00FD697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FE"/>
    <w:pPr>
      <w:jc w:val="both"/>
    </w:pPr>
    <w:rPr>
      <w:rFonts w:ascii="Times New Roman" w:hAnsi="Times New Roman"/>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F2F"/>
    <w:pPr>
      <w:ind w:left="720"/>
      <w:contextualSpacing/>
    </w:pPr>
  </w:style>
  <w:style w:type="character" w:customStyle="1" w:styleId="st">
    <w:name w:val="st"/>
    <w:basedOn w:val="Policepardfaut"/>
    <w:rsid w:val="002B748C"/>
  </w:style>
  <w:style w:type="character" w:styleId="Accentuation">
    <w:name w:val="Emphasis"/>
    <w:basedOn w:val="Policepardfaut"/>
    <w:uiPriority w:val="20"/>
    <w:qFormat/>
    <w:rsid w:val="006709EA"/>
    <w:rPr>
      <w:i/>
      <w:iCs/>
    </w:rPr>
  </w:style>
  <w:style w:type="paragraph" w:styleId="Notedebasdepage">
    <w:name w:val="footnote text"/>
    <w:basedOn w:val="Normal"/>
    <w:link w:val="NotedebasdepageCar"/>
    <w:uiPriority w:val="99"/>
    <w:semiHidden/>
    <w:unhideWhenUsed/>
    <w:rsid w:val="00811E7E"/>
    <w:rPr>
      <w:sz w:val="20"/>
      <w:szCs w:val="20"/>
    </w:rPr>
  </w:style>
  <w:style w:type="character" w:customStyle="1" w:styleId="NotedebasdepageCar">
    <w:name w:val="Note de bas de page Car"/>
    <w:basedOn w:val="Policepardfaut"/>
    <w:link w:val="Notedebasdepage"/>
    <w:uiPriority w:val="99"/>
    <w:semiHidden/>
    <w:rsid w:val="00811E7E"/>
    <w:rPr>
      <w:rFonts w:ascii="Times New Roman" w:hAnsi="Times New Roman"/>
      <w:lang w:eastAsia="en-US"/>
    </w:rPr>
  </w:style>
  <w:style w:type="character" w:styleId="Appelnotedebasdep">
    <w:name w:val="footnote reference"/>
    <w:basedOn w:val="Policepardfaut"/>
    <w:uiPriority w:val="99"/>
    <w:semiHidden/>
    <w:unhideWhenUsed/>
    <w:rsid w:val="00811E7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CC0C3-5E20-415C-93FC-78EFE206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1286</Words>
  <Characters>7073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16</cp:revision>
  <dcterms:created xsi:type="dcterms:W3CDTF">2019-05-15T08:13:00Z</dcterms:created>
  <dcterms:modified xsi:type="dcterms:W3CDTF">2019-07-11T19:43:00Z</dcterms:modified>
</cp:coreProperties>
</file>